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</w:r>
      <w:r>
        <w:object w:dxaOrig="1031" w:dyaOrig="1031">
          <v:rect xmlns:o="urn:schemas-microsoft-com:office:office" xmlns:v="urn:schemas-microsoft-com:vml" id="rectole0000000000" style="width:51.550000pt;height:51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Word.Picture.8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БЛАГОВЕЩЕНСКАЯ ГОРОДСКАЯ  ДУМА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АМУРСКОЙ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пятый созыв)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20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200"/>
          <w:position w:val="0"/>
          <w:sz w:val="40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  <w:t xml:space="preserve">   </w:t>
      </w:r>
    </w:p>
    <w:p>
      <w:pPr>
        <w:spacing w:before="0" w:after="0" w:line="240"/>
        <w:ind w:right="-12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_________________  </w:t>
        <w:tab/>
        <w:tab/>
        <w:tab/>
        <w:t xml:space="preserve">                                   №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Благовещенск</w:t>
      </w:r>
    </w:p>
    <w:p>
      <w:pPr>
        <w:spacing w:before="24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 отчете контрольно-счетной палаты города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Благовещенска о результатах проверки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отдельных вопросов финансово-хозяйственной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деятельности МП «Автоколонна 1275»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(в т.ч. проверки соблюдения установленного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порядка управления и распоряжения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имуществом, переданным в хозяйственное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ведение) за 2013 год</w:t>
      </w:r>
    </w:p>
    <w:p>
      <w:pPr>
        <w:spacing w:before="24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Заслушав отчет контрольно-счетной палаты города Благовещенска о результатах проверки отдельных вопросов финансово-хозяйственной деятельности МП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Автоколонна 1275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т.ч. проверка соблюдения порядка управления и распоряжения имуществом, переданного в хозяйственное ведение) за 2013 год, представленный председателем контрольно-счетной палаты города Благовещенска Махровым О.В., учитывая заключение комитета Благовещенской городской Думы по вопросам экономики, собственности и жилищно-коммунального хозяйства, Благовещенская городская Дума</w:t>
      </w:r>
    </w:p>
    <w:p>
      <w:pPr>
        <w:spacing w:before="240" w:after="12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28"/>
          <w:shd w:fill="auto" w:val="clear"/>
        </w:rPr>
        <w:t xml:space="preserve">решила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numPr>
          <w:ilvl w:val="0"/>
          <w:numId w:val="11"/>
        </w:numPr>
        <w:tabs>
          <w:tab w:val="left" w:pos="993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Принять отчет контрольно-счетной палаты города Благовещенска о результатах проверки отдельных вопросов финансово-хозяйственной деятельности МП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Автоколонна 1275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т.ч. проверка соблюдения порядка управления и распоряжения имуществом, переданного в хозяйственное ведение) за 2013 год к сведению.</w:t>
      </w:r>
    </w:p>
    <w:p>
      <w:pPr>
        <w:numPr>
          <w:ilvl w:val="0"/>
          <w:numId w:val="11"/>
        </w:numPr>
        <w:tabs>
          <w:tab w:val="left" w:pos="993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вступает в силу со дня его подписания. </w:t>
      </w:r>
    </w:p>
    <w:p>
      <w:pPr>
        <w:numPr>
          <w:ilvl w:val="0"/>
          <w:numId w:val="11"/>
        </w:numPr>
        <w:tabs>
          <w:tab w:val="left" w:pos="0" w:leader="none"/>
          <w:tab w:val="left" w:pos="993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комитет Благовещенской городской Думы по вопросам экономики, собственности и жилищно-коммунального хозяйства (А.В. Сакания).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муниципального образования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Благовещенска                                               </w:t>
        <w:tab/>
        <w:tab/>
        <w:tab/>
        <w:t xml:space="preserve">   В.А. Кобелев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